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60" w:type="dxa"/>
        <w:tblInd w:w="-275" w:type="dxa"/>
        <w:tblLayout w:type="fixed"/>
        <w:tblLook w:val="04A0" w:firstRow="1" w:lastRow="0" w:firstColumn="1" w:lastColumn="0" w:noHBand="0" w:noVBand="1"/>
      </w:tblPr>
      <w:tblGrid>
        <w:gridCol w:w="2340"/>
        <w:gridCol w:w="8820"/>
      </w:tblGrid>
      <w:tr w:rsidR="00885688" w14:paraId="24DAC3DB" w14:textId="77777777" w:rsidTr="00885688">
        <w:tc>
          <w:tcPr>
            <w:tcW w:w="2340" w:type="dxa"/>
          </w:tcPr>
          <w:p w14:paraId="10350EB1" w14:textId="315A0366" w:rsidR="00885688" w:rsidRPr="00B67021" w:rsidRDefault="00885688">
            <w:pPr>
              <w:rPr>
                <w:b/>
                <w:bCs/>
                <w:sz w:val="24"/>
                <w:szCs w:val="24"/>
              </w:rPr>
            </w:pPr>
            <w:r w:rsidRPr="00B67021">
              <w:rPr>
                <w:b/>
                <w:bCs/>
                <w:sz w:val="24"/>
                <w:szCs w:val="24"/>
              </w:rPr>
              <w:t>Field</w:t>
            </w:r>
          </w:p>
        </w:tc>
        <w:tc>
          <w:tcPr>
            <w:tcW w:w="8820" w:type="dxa"/>
          </w:tcPr>
          <w:p w14:paraId="5E814DE7" w14:textId="603E88D5" w:rsidR="00885688" w:rsidRPr="00B67021" w:rsidRDefault="00885688">
            <w:pPr>
              <w:rPr>
                <w:b/>
                <w:bCs/>
                <w:sz w:val="24"/>
                <w:szCs w:val="24"/>
              </w:rPr>
            </w:pPr>
            <w:r w:rsidRPr="00B67021">
              <w:rPr>
                <w:b/>
                <w:bCs/>
                <w:sz w:val="24"/>
                <w:szCs w:val="24"/>
              </w:rPr>
              <w:t>Details</w:t>
            </w:r>
          </w:p>
        </w:tc>
      </w:tr>
      <w:tr w:rsidR="00885688" w14:paraId="78A77E8E" w14:textId="77777777" w:rsidTr="00885688">
        <w:tc>
          <w:tcPr>
            <w:tcW w:w="2340" w:type="dxa"/>
          </w:tcPr>
          <w:p w14:paraId="77986D6A" w14:textId="3C22ABE2" w:rsidR="00885688" w:rsidRPr="00B67021" w:rsidRDefault="00885688">
            <w:pPr>
              <w:rPr>
                <w:b/>
                <w:bCs/>
                <w:sz w:val="24"/>
                <w:szCs w:val="24"/>
              </w:rPr>
            </w:pPr>
            <w:r w:rsidRPr="00B67021">
              <w:rPr>
                <w:b/>
                <w:bCs/>
                <w:sz w:val="24"/>
                <w:szCs w:val="24"/>
              </w:rPr>
              <w:t>SAP Contract Number</w:t>
            </w:r>
          </w:p>
        </w:tc>
        <w:tc>
          <w:tcPr>
            <w:tcW w:w="8820" w:type="dxa"/>
          </w:tcPr>
          <w:p w14:paraId="2DAA78F0" w14:textId="36C31D16" w:rsidR="00885688" w:rsidRDefault="00885688">
            <w:r>
              <w:t>This number should not be entered by the Amplifund user. This field is blank on the original contract submission and then will be populated with the SAP-generated contract number</w:t>
            </w:r>
          </w:p>
        </w:tc>
      </w:tr>
      <w:tr w:rsidR="00885688" w14:paraId="2F36C790" w14:textId="77777777" w:rsidTr="00885688">
        <w:tc>
          <w:tcPr>
            <w:tcW w:w="2340" w:type="dxa"/>
          </w:tcPr>
          <w:p w14:paraId="4CAF1295" w14:textId="2ADBD6A5" w:rsidR="00885688" w:rsidRPr="00B67021" w:rsidRDefault="00885688">
            <w:pPr>
              <w:rPr>
                <w:b/>
                <w:bCs/>
                <w:sz w:val="24"/>
                <w:szCs w:val="24"/>
              </w:rPr>
            </w:pPr>
            <w:r w:rsidRPr="00B67021">
              <w:rPr>
                <w:b/>
                <w:bCs/>
                <w:sz w:val="24"/>
                <w:szCs w:val="24"/>
              </w:rPr>
              <w:t>Agency Contract Reference</w:t>
            </w:r>
          </w:p>
        </w:tc>
        <w:tc>
          <w:tcPr>
            <w:tcW w:w="8820" w:type="dxa"/>
          </w:tcPr>
          <w:p w14:paraId="7368C7DA" w14:textId="669EFECE" w:rsidR="00885688" w:rsidRDefault="00885688">
            <w:r>
              <w:t>There can only be one Agency Contract Reference number for each AF -&gt; SAP contract. This number from AF is the link to SAP to help determine which SAP Contract/EMF the Amplifund Contract is linked to. This is auto populated by Amplifund as the “Award Identification Number”.</w:t>
            </w:r>
          </w:p>
        </w:tc>
      </w:tr>
      <w:tr w:rsidR="00885688" w14:paraId="34CF4EF3" w14:textId="77777777" w:rsidTr="00885688">
        <w:tc>
          <w:tcPr>
            <w:tcW w:w="2340" w:type="dxa"/>
          </w:tcPr>
          <w:p w14:paraId="6392BE2B" w14:textId="77777777" w:rsidR="00885688" w:rsidRPr="00B67021" w:rsidRDefault="00885688">
            <w:pPr>
              <w:rPr>
                <w:b/>
                <w:bCs/>
                <w:sz w:val="24"/>
                <w:szCs w:val="24"/>
              </w:rPr>
            </w:pPr>
          </w:p>
        </w:tc>
        <w:tc>
          <w:tcPr>
            <w:tcW w:w="8820" w:type="dxa"/>
          </w:tcPr>
          <w:p w14:paraId="21145FA9" w14:textId="77777777" w:rsidR="00885688" w:rsidRDefault="00885688" w:rsidP="00974558">
            <w:pPr>
              <w:jc w:val="both"/>
            </w:pPr>
            <w:r>
              <w:t xml:space="preserve">If there is a need for a new SAP contract to be assigned to the Amplifund grant, then the Agency Contract Number must be changed before establishing that new SAP contract. Once all transactions are done with the old SAP Contract (i.e. </w:t>
            </w:r>
            <w:proofErr w:type="gramStart"/>
            <w:r>
              <w:t>reducing down</w:t>
            </w:r>
            <w:proofErr w:type="gramEnd"/>
            <w:r>
              <w:t xml:space="preserve"> to zero), an Amplifund user should return to the Grant award and change that Award Identification Number.</w:t>
            </w:r>
          </w:p>
        </w:tc>
      </w:tr>
      <w:tr w:rsidR="00885688" w14:paraId="43B6A874" w14:textId="77777777" w:rsidTr="00885688">
        <w:tc>
          <w:tcPr>
            <w:tcW w:w="2340" w:type="dxa"/>
          </w:tcPr>
          <w:p w14:paraId="10148643" w14:textId="7A771A0A" w:rsidR="00885688" w:rsidRPr="00B67021" w:rsidRDefault="00885688">
            <w:pPr>
              <w:rPr>
                <w:b/>
                <w:bCs/>
                <w:sz w:val="24"/>
                <w:szCs w:val="24"/>
              </w:rPr>
            </w:pPr>
            <w:r w:rsidRPr="00B67021">
              <w:rPr>
                <w:b/>
                <w:bCs/>
                <w:sz w:val="24"/>
                <w:szCs w:val="24"/>
              </w:rPr>
              <w:t>Contract Name</w:t>
            </w:r>
          </w:p>
        </w:tc>
        <w:tc>
          <w:tcPr>
            <w:tcW w:w="8820" w:type="dxa"/>
          </w:tcPr>
          <w:p w14:paraId="7E4D19AF" w14:textId="77777777" w:rsidR="00885688" w:rsidRDefault="00885688" w:rsidP="00974558">
            <w:pPr>
              <w:jc w:val="both"/>
            </w:pPr>
            <w:r>
              <w:t>This field generates from the Award Details in Amplifund. This will become the contract name in SRM.</w:t>
            </w:r>
          </w:p>
        </w:tc>
      </w:tr>
      <w:tr w:rsidR="00885688" w14:paraId="30F6133F" w14:textId="77777777" w:rsidTr="00885688">
        <w:tc>
          <w:tcPr>
            <w:tcW w:w="2340" w:type="dxa"/>
          </w:tcPr>
          <w:p w14:paraId="51694268" w14:textId="403BCBB8" w:rsidR="00885688" w:rsidRPr="00B67021" w:rsidRDefault="00885688">
            <w:pPr>
              <w:rPr>
                <w:b/>
                <w:bCs/>
                <w:sz w:val="24"/>
                <w:szCs w:val="24"/>
              </w:rPr>
            </w:pPr>
            <w:r w:rsidRPr="00B67021">
              <w:rPr>
                <w:b/>
                <w:bCs/>
                <w:sz w:val="24"/>
                <w:szCs w:val="24"/>
              </w:rPr>
              <w:t>Total Value</w:t>
            </w:r>
          </w:p>
        </w:tc>
        <w:tc>
          <w:tcPr>
            <w:tcW w:w="8820" w:type="dxa"/>
          </w:tcPr>
          <w:p w14:paraId="4E256892" w14:textId="03FCEFBD" w:rsidR="00885688" w:rsidRDefault="00885688">
            <w:r>
              <w:t xml:space="preserve">This field maps to Target Value in SAP. In general, this field should align with the overall contract maximum. In the event that a contract is under $20,000 and the agency wants </w:t>
            </w:r>
            <w:proofErr w:type="gramStart"/>
            <w:r>
              <w:t>send</w:t>
            </w:r>
            <w:proofErr w:type="gramEnd"/>
            <w:r>
              <w:t xml:space="preserve"> the obligation to the IOC, they can change this value to $20,000.01 to force the obligation</w:t>
            </w:r>
          </w:p>
        </w:tc>
      </w:tr>
      <w:tr w:rsidR="00885688" w14:paraId="0BC6E67C" w14:textId="77777777" w:rsidTr="00885688">
        <w:tc>
          <w:tcPr>
            <w:tcW w:w="2340" w:type="dxa"/>
          </w:tcPr>
          <w:p w14:paraId="6B4D20DD" w14:textId="3EB70796" w:rsidR="00885688" w:rsidRPr="00B67021" w:rsidRDefault="00885688">
            <w:pPr>
              <w:rPr>
                <w:b/>
                <w:bCs/>
                <w:sz w:val="24"/>
                <w:szCs w:val="24"/>
              </w:rPr>
            </w:pPr>
            <w:r w:rsidRPr="00B67021">
              <w:rPr>
                <w:b/>
                <w:bCs/>
                <w:sz w:val="24"/>
                <w:szCs w:val="24"/>
              </w:rPr>
              <w:t xml:space="preserve">Valid From/Valid </w:t>
            </w:r>
            <w:proofErr w:type="gramStart"/>
            <w:r w:rsidRPr="00B67021">
              <w:rPr>
                <w:b/>
                <w:bCs/>
                <w:sz w:val="24"/>
                <w:szCs w:val="24"/>
              </w:rPr>
              <w:t>To</w:t>
            </w:r>
            <w:proofErr w:type="gramEnd"/>
            <w:r w:rsidRPr="00B67021">
              <w:rPr>
                <w:b/>
                <w:bCs/>
                <w:sz w:val="24"/>
                <w:szCs w:val="24"/>
              </w:rPr>
              <w:t xml:space="preserve"> Dates</w:t>
            </w:r>
          </w:p>
        </w:tc>
        <w:tc>
          <w:tcPr>
            <w:tcW w:w="8820" w:type="dxa"/>
          </w:tcPr>
          <w:p w14:paraId="4B357DD6" w14:textId="77777777" w:rsidR="00885688" w:rsidRDefault="00885688" w:rsidP="00FA405C">
            <w:pPr>
              <w:jc w:val="both"/>
            </w:pPr>
            <w:r>
              <w:t xml:space="preserve">This is the term of the contract. These values are auto populated by </w:t>
            </w:r>
            <w:proofErr w:type="spellStart"/>
            <w:r>
              <w:t>Amplifund’s</w:t>
            </w:r>
            <w:proofErr w:type="spellEnd"/>
            <w:r>
              <w:t xml:space="preserve"> Award Start and End Dates. Be sure to consider the language in the contract to determine proper begin and end dates. If a clause such as “or upon execution” exists, there is a chance the start date doesn’t match the date listed if the last execution (agency execution) occurred after the specific date listed.</w:t>
            </w:r>
          </w:p>
          <w:p w14:paraId="08F2BB58" w14:textId="5E295BFF" w:rsidR="00885688" w:rsidRDefault="00885688">
            <w:r>
              <w:t xml:space="preserve">These values are auto populated by </w:t>
            </w:r>
            <w:proofErr w:type="spellStart"/>
            <w:r>
              <w:t>Amplifund’s</w:t>
            </w:r>
            <w:proofErr w:type="spellEnd"/>
            <w:r>
              <w:t xml:space="preserve"> Award Start and End Dates.</w:t>
            </w:r>
          </w:p>
        </w:tc>
      </w:tr>
      <w:tr w:rsidR="00885688" w14:paraId="462EC97D" w14:textId="77777777" w:rsidTr="00885688">
        <w:tc>
          <w:tcPr>
            <w:tcW w:w="2340" w:type="dxa"/>
          </w:tcPr>
          <w:p w14:paraId="703CEEDF" w14:textId="711FEA09" w:rsidR="00885688" w:rsidRPr="00B67021" w:rsidRDefault="00885688">
            <w:pPr>
              <w:rPr>
                <w:b/>
                <w:bCs/>
                <w:sz w:val="24"/>
                <w:szCs w:val="24"/>
              </w:rPr>
            </w:pPr>
            <w:r w:rsidRPr="00B67021">
              <w:rPr>
                <w:b/>
                <w:bCs/>
                <w:sz w:val="24"/>
                <w:szCs w:val="24"/>
              </w:rPr>
              <w:t>Award Code</w:t>
            </w:r>
          </w:p>
        </w:tc>
        <w:tc>
          <w:tcPr>
            <w:tcW w:w="8820" w:type="dxa"/>
          </w:tcPr>
          <w:p w14:paraId="6CA4C20B" w14:textId="066D98F4" w:rsidR="00885688" w:rsidRDefault="00885688" w:rsidP="00FA405C">
            <w:pPr>
              <w:jc w:val="both"/>
            </w:pPr>
            <w:r>
              <w:t xml:space="preserve">In general, most contracts from Amplifund should be Award Code “O”. </w:t>
            </w:r>
          </w:p>
        </w:tc>
      </w:tr>
      <w:tr w:rsidR="00885688" w14:paraId="027CAB60" w14:textId="77777777" w:rsidTr="00885688">
        <w:tc>
          <w:tcPr>
            <w:tcW w:w="2340" w:type="dxa"/>
          </w:tcPr>
          <w:p w14:paraId="61CB90A3" w14:textId="274DF3DA" w:rsidR="00885688" w:rsidRPr="00B67021" w:rsidRDefault="00885688">
            <w:pPr>
              <w:rPr>
                <w:b/>
                <w:bCs/>
                <w:sz w:val="24"/>
                <w:szCs w:val="24"/>
              </w:rPr>
            </w:pPr>
            <w:r w:rsidRPr="00B67021">
              <w:rPr>
                <w:b/>
                <w:bCs/>
                <w:sz w:val="24"/>
                <w:szCs w:val="24"/>
              </w:rPr>
              <w:t>Travel Indicator/ Travel Amount</w:t>
            </w:r>
          </w:p>
        </w:tc>
        <w:tc>
          <w:tcPr>
            <w:tcW w:w="8820" w:type="dxa"/>
          </w:tcPr>
          <w:p w14:paraId="5978A30B" w14:textId="6E0DB3B0" w:rsidR="00885688" w:rsidRDefault="00885688">
            <w:r>
              <w:t>If the agreement contains a travel allowance, this should be marked “Yes” and if it is marked “Yes”, the Travel Amount field is required.</w:t>
            </w:r>
          </w:p>
        </w:tc>
      </w:tr>
      <w:tr w:rsidR="00885688" w14:paraId="60CADCA6" w14:textId="77777777" w:rsidTr="00885688">
        <w:tc>
          <w:tcPr>
            <w:tcW w:w="2340" w:type="dxa"/>
          </w:tcPr>
          <w:p w14:paraId="76055DA5" w14:textId="5EAED9B1" w:rsidR="00885688" w:rsidRPr="00B67021" w:rsidRDefault="00885688">
            <w:pPr>
              <w:rPr>
                <w:b/>
                <w:bCs/>
                <w:sz w:val="24"/>
                <w:szCs w:val="24"/>
              </w:rPr>
            </w:pPr>
            <w:r w:rsidRPr="00B67021">
              <w:rPr>
                <w:b/>
                <w:bCs/>
                <w:sz w:val="24"/>
                <w:szCs w:val="24"/>
              </w:rPr>
              <w:t>Fixed Price/ Advanced Payment/ Subcontractor Utilization/ Subcontractor Disclosure</w:t>
            </w:r>
          </w:p>
        </w:tc>
        <w:tc>
          <w:tcPr>
            <w:tcW w:w="8820" w:type="dxa"/>
          </w:tcPr>
          <w:p w14:paraId="2B853C8C" w14:textId="77777777" w:rsidR="00D83E15" w:rsidRDefault="00885688">
            <w:r>
              <w:t>These are all dictated by the agreement if these things are applicable.</w:t>
            </w:r>
            <w:r w:rsidR="00D83E15">
              <w:t xml:space="preserve"> </w:t>
            </w:r>
          </w:p>
          <w:p w14:paraId="46E68278" w14:textId="0F82E483" w:rsidR="00885688" w:rsidRDefault="00D83E15">
            <w:r>
              <w:t>Fixed Price – Generally, the Comptroller considers a contract as having a Fixed Price (indicator marked as “Yes”) if there is a maximum amount listed on the agreement. In addition, if this is marked “Yes”, a phrase in the Notes section saying “Contract not to exceed $</w:t>
            </w:r>
            <w:proofErr w:type="spellStart"/>
            <w:proofErr w:type="gramStart"/>
            <w:r>
              <w:t>x.xx</w:t>
            </w:r>
            <w:proofErr w:type="spellEnd"/>
            <w:proofErr w:type="gramEnd"/>
            <w:r>
              <w:t>” is typically required.</w:t>
            </w:r>
          </w:p>
        </w:tc>
      </w:tr>
      <w:tr w:rsidR="00885688" w14:paraId="3FA6B8CD" w14:textId="77777777" w:rsidTr="00885688">
        <w:tc>
          <w:tcPr>
            <w:tcW w:w="2340" w:type="dxa"/>
          </w:tcPr>
          <w:p w14:paraId="574536EB" w14:textId="656900EF" w:rsidR="00885688" w:rsidRPr="00B67021" w:rsidRDefault="00885688">
            <w:pPr>
              <w:rPr>
                <w:b/>
                <w:bCs/>
                <w:sz w:val="24"/>
                <w:szCs w:val="24"/>
              </w:rPr>
            </w:pPr>
            <w:r w:rsidRPr="00B67021">
              <w:rPr>
                <w:b/>
                <w:bCs/>
                <w:sz w:val="24"/>
                <w:szCs w:val="24"/>
              </w:rPr>
              <w:t>Class Code and Order Type</w:t>
            </w:r>
          </w:p>
        </w:tc>
        <w:tc>
          <w:tcPr>
            <w:tcW w:w="8820" w:type="dxa"/>
          </w:tcPr>
          <w:p w14:paraId="4E8F7FB5" w14:textId="77777777" w:rsidR="00885688" w:rsidRDefault="00885688">
            <w:r>
              <w:t>These fields are required by the IOC and the source for them is Exhibits 15.20.10-E and 15.20.10-G of the SAMS Manual. Generally, most, if not all, agreements in Amplifund will have the Class Code of “J” and the Order Type will vary based on the agreement.</w:t>
            </w:r>
          </w:p>
        </w:tc>
      </w:tr>
      <w:tr w:rsidR="00885688" w14:paraId="51EE7C54" w14:textId="77777777" w:rsidTr="00885688">
        <w:tc>
          <w:tcPr>
            <w:tcW w:w="2340" w:type="dxa"/>
          </w:tcPr>
          <w:p w14:paraId="5E965857" w14:textId="5503F46C" w:rsidR="00885688" w:rsidRPr="00B67021" w:rsidRDefault="00885688">
            <w:pPr>
              <w:rPr>
                <w:b/>
                <w:bCs/>
                <w:sz w:val="24"/>
                <w:szCs w:val="24"/>
              </w:rPr>
            </w:pPr>
            <w:r w:rsidRPr="00B67021">
              <w:rPr>
                <w:b/>
                <w:bCs/>
                <w:sz w:val="24"/>
                <w:szCs w:val="24"/>
              </w:rPr>
              <w:t>Per Time</w:t>
            </w:r>
          </w:p>
        </w:tc>
        <w:tc>
          <w:tcPr>
            <w:tcW w:w="8820" w:type="dxa"/>
          </w:tcPr>
          <w:p w14:paraId="48C7F0B9" w14:textId="7D022E9F" w:rsidR="00885688" w:rsidRDefault="00885688">
            <w:r>
              <w:t>Options derive from the SAMS Manual, but include EA, MON, MR, FR, etc. MR does not require a value in “Pay Rate</w:t>
            </w:r>
            <w:proofErr w:type="gramStart"/>
            <w:r>
              <w:t>”</w:t>
            </w:r>
            <w:proofErr w:type="gramEnd"/>
            <w:r>
              <w:t xml:space="preserve"> but all other rates do require a value in that field.</w:t>
            </w:r>
          </w:p>
        </w:tc>
      </w:tr>
      <w:tr w:rsidR="00885688" w14:paraId="7D836C3E" w14:textId="77777777" w:rsidTr="00885688">
        <w:tc>
          <w:tcPr>
            <w:tcW w:w="2340" w:type="dxa"/>
          </w:tcPr>
          <w:p w14:paraId="0EE3423F" w14:textId="012F35E6" w:rsidR="00885688" w:rsidRPr="00B67021" w:rsidRDefault="00885688">
            <w:pPr>
              <w:rPr>
                <w:b/>
                <w:bCs/>
                <w:sz w:val="24"/>
                <w:szCs w:val="24"/>
              </w:rPr>
            </w:pPr>
            <w:r w:rsidRPr="00B67021">
              <w:rPr>
                <w:b/>
                <w:bCs/>
                <w:sz w:val="24"/>
                <w:szCs w:val="24"/>
              </w:rPr>
              <w:t>Pay Rate</w:t>
            </w:r>
          </w:p>
        </w:tc>
        <w:tc>
          <w:tcPr>
            <w:tcW w:w="8820" w:type="dxa"/>
          </w:tcPr>
          <w:p w14:paraId="3F7131FE" w14:textId="4E70E454" w:rsidR="00885688" w:rsidRDefault="00885688">
            <w:r>
              <w:t xml:space="preserve">This field supplements Per Time. This is field shows the details for how the contract is to be paid based on the frequency or unit listed in the previous field. </w:t>
            </w:r>
          </w:p>
        </w:tc>
      </w:tr>
      <w:tr w:rsidR="00885688" w14:paraId="7FD51197" w14:textId="77777777" w:rsidTr="00885688">
        <w:tc>
          <w:tcPr>
            <w:tcW w:w="2340" w:type="dxa"/>
          </w:tcPr>
          <w:p w14:paraId="11AAF1E4" w14:textId="4740BDFD" w:rsidR="00885688" w:rsidRPr="00B67021" w:rsidRDefault="00885688">
            <w:pPr>
              <w:rPr>
                <w:b/>
                <w:bCs/>
                <w:sz w:val="24"/>
                <w:szCs w:val="24"/>
              </w:rPr>
            </w:pPr>
            <w:r w:rsidRPr="00B67021">
              <w:rPr>
                <w:b/>
                <w:bCs/>
                <w:sz w:val="24"/>
                <w:szCs w:val="24"/>
              </w:rPr>
              <w:t>Do Not Send to SAMS</w:t>
            </w:r>
          </w:p>
        </w:tc>
        <w:tc>
          <w:tcPr>
            <w:tcW w:w="8820" w:type="dxa"/>
          </w:tcPr>
          <w:p w14:paraId="660E7F88" w14:textId="4446264E" w:rsidR="00885688" w:rsidRDefault="00885688">
            <w:r>
              <w:t>This checkbox aligns with a field in SRM. This allows a contract transaction to be suppressed from going to the Comptroller. There are various reasons that may make this necessary. Work with your fiscal department to align on those various situations.</w:t>
            </w:r>
          </w:p>
        </w:tc>
      </w:tr>
      <w:tr w:rsidR="00885688" w14:paraId="6A5737EF" w14:textId="77777777" w:rsidTr="00885688">
        <w:tc>
          <w:tcPr>
            <w:tcW w:w="2340" w:type="dxa"/>
          </w:tcPr>
          <w:p w14:paraId="6E606058" w14:textId="54B89DBF" w:rsidR="00885688" w:rsidRPr="00B67021" w:rsidRDefault="00885688">
            <w:pPr>
              <w:rPr>
                <w:b/>
                <w:bCs/>
                <w:sz w:val="24"/>
                <w:szCs w:val="24"/>
              </w:rPr>
            </w:pPr>
            <w:r w:rsidRPr="00B67021">
              <w:rPr>
                <w:b/>
                <w:bCs/>
                <w:sz w:val="24"/>
                <w:szCs w:val="24"/>
              </w:rPr>
              <w:t>SAP Vendor Number</w:t>
            </w:r>
          </w:p>
        </w:tc>
        <w:tc>
          <w:tcPr>
            <w:tcW w:w="8820" w:type="dxa"/>
          </w:tcPr>
          <w:p w14:paraId="025D0E74" w14:textId="152C7A6B" w:rsidR="00885688" w:rsidRDefault="00885688">
            <w:r>
              <w:t xml:space="preserve">This editable field comes over with an SAP vendor number that populated based on the details the grantee </w:t>
            </w:r>
            <w:proofErr w:type="gramStart"/>
            <w:r>
              <w:t>entered into</w:t>
            </w:r>
            <w:proofErr w:type="gramEnd"/>
            <w:r>
              <w:t xml:space="preserve"> the GATA portal. </w:t>
            </w:r>
          </w:p>
        </w:tc>
      </w:tr>
      <w:tr w:rsidR="00885688" w14:paraId="17306AA6" w14:textId="77777777" w:rsidTr="00885688">
        <w:tc>
          <w:tcPr>
            <w:tcW w:w="2340" w:type="dxa"/>
          </w:tcPr>
          <w:p w14:paraId="6090473D" w14:textId="66611071" w:rsidR="00885688" w:rsidRPr="00B67021" w:rsidRDefault="00885688">
            <w:pPr>
              <w:rPr>
                <w:b/>
                <w:bCs/>
                <w:sz w:val="24"/>
                <w:szCs w:val="24"/>
              </w:rPr>
            </w:pPr>
          </w:p>
        </w:tc>
        <w:tc>
          <w:tcPr>
            <w:tcW w:w="8820" w:type="dxa"/>
          </w:tcPr>
          <w:p w14:paraId="77739060" w14:textId="77777777" w:rsidR="00885688" w:rsidRDefault="00885688">
            <w:r w:rsidRPr="00B915DE">
              <w:rPr>
                <w:b/>
                <w:bCs/>
              </w:rPr>
              <w:t>**IMPORTANT**</w:t>
            </w:r>
            <w:r>
              <w:t xml:space="preserve"> Please review this number to confirm it is the one that should be used for the obligation. In general, the IOC expects the name, address, and FEIN on the agreement to match that of the vendor used. If a grantee wants payments to go to a different address, there is typically an option for this during the payment process.</w:t>
            </w:r>
          </w:p>
        </w:tc>
      </w:tr>
      <w:tr w:rsidR="00885688" w14:paraId="66ADF321" w14:textId="77777777" w:rsidTr="00885688">
        <w:tc>
          <w:tcPr>
            <w:tcW w:w="2340" w:type="dxa"/>
          </w:tcPr>
          <w:p w14:paraId="43E67BEF" w14:textId="04FBD105" w:rsidR="00885688" w:rsidRPr="00B67021" w:rsidRDefault="00885688">
            <w:pPr>
              <w:rPr>
                <w:b/>
                <w:bCs/>
                <w:sz w:val="24"/>
                <w:szCs w:val="24"/>
              </w:rPr>
            </w:pPr>
            <w:r w:rsidRPr="00B67021">
              <w:rPr>
                <w:b/>
                <w:bCs/>
                <w:sz w:val="24"/>
                <w:szCs w:val="24"/>
              </w:rPr>
              <w:t>Short Description</w:t>
            </w:r>
          </w:p>
        </w:tc>
        <w:tc>
          <w:tcPr>
            <w:tcW w:w="8820" w:type="dxa"/>
          </w:tcPr>
          <w:p w14:paraId="49BA3D98" w14:textId="3091557F" w:rsidR="00885688" w:rsidRDefault="00885688">
            <w:r>
              <w:t xml:space="preserve">This field with a limit of 40 characters is simply one field to provide some detail </w:t>
            </w:r>
            <w:r w:rsidR="00CD2259">
              <w:t>about the obligation.</w:t>
            </w:r>
          </w:p>
        </w:tc>
      </w:tr>
      <w:tr w:rsidR="00885688" w14:paraId="4E0CA6D5" w14:textId="77777777" w:rsidTr="00885688">
        <w:tc>
          <w:tcPr>
            <w:tcW w:w="2340" w:type="dxa"/>
          </w:tcPr>
          <w:p w14:paraId="089902D1" w14:textId="568ABB8D" w:rsidR="00885688" w:rsidRPr="00B67021" w:rsidRDefault="00885688">
            <w:pPr>
              <w:rPr>
                <w:b/>
                <w:bCs/>
                <w:sz w:val="24"/>
                <w:szCs w:val="24"/>
              </w:rPr>
            </w:pPr>
            <w:r w:rsidRPr="00B67021">
              <w:rPr>
                <w:b/>
                <w:bCs/>
                <w:sz w:val="24"/>
                <w:szCs w:val="24"/>
              </w:rPr>
              <w:t>NIGP Code</w:t>
            </w:r>
          </w:p>
        </w:tc>
        <w:tc>
          <w:tcPr>
            <w:tcW w:w="8820" w:type="dxa"/>
          </w:tcPr>
          <w:p w14:paraId="710DB67B" w14:textId="524BBD9B" w:rsidR="00885688" w:rsidRDefault="00885688">
            <w:r>
              <w:t>This field is 5 digits that maps to the Product Category in SRM</w:t>
            </w:r>
            <w:r w:rsidR="00CD2259">
              <w:t xml:space="preserve">, which also </w:t>
            </w:r>
            <w:r>
              <w:t>maps to the NIGP Codes utilized by the state. Work with your agency’s obligation staff to determine proper codes to use that were presumably used on prior obligations</w:t>
            </w:r>
            <w:r w:rsidR="00CD2259">
              <w:t>.</w:t>
            </w:r>
          </w:p>
        </w:tc>
      </w:tr>
      <w:tr w:rsidR="00885688" w14:paraId="610A9264" w14:textId="77777777" w:rsidTr="00885688">
        <w:tc>
          <w:tcPr>
            <w:tcW w:w="2340" w:type="dxa"/>
          </w:tcPr>
          <w:p w14:paraId="362CEE4B" w14:textId="06CAD61A" w:rsidR="00885688" w:rsidRPr="00B67021" w:rsidRDefault="00885688">
            <w:pPr>
              <w:rPr>
                <w:b/>
                <w:bCs/>
                <w:sz w:val="24"/>
                <w:szCs w:val="24"/>
              </w:rPr>
            </w:pPr>
            <w:r w:rsidRPr="00B67021">
              <w:rPr>
                <w:b/>
                <w:bCs/>
                <w:sz w:val="24"/>
                <w:szCs w:val="24"/>
              </w:rPr>
              <w:lastRenderedPageBreak/>
              <w:t>Header Text</w:t>
            </w:r>
          </w:p>
        </w:tc>
        <w:tc>
          <w:tcPr>
            <w:tcW w:w="8820" w:type="dxa"/>
          </w:tcPr>
          <w:p w14:paraId="74BE8AE9" w14:textId="25C27083" w:rsidR="00885688" w:rsidRDefault="00885688">
            <w:r>
              <w:t>This field maps to either the Header Establishment Text or Header Modification Text on the SRM contract. This field is the bulk of the description that will go to the IOC to explain the obligation. A discussion about the SAP logic for the text field (where it’s placed in SRM) will be addressed later.</w:t>
            </w:r>
          </w:p>
        </w:tc>
      </w:tr>
      <w:tr w:rsidR="00885688" w14:paraId="5B2AA2ED" w14:textId="77777777" w:rsidTr="00885688">
        <w:tc>
          <w:tcPr>
            <w:tcW w:w="2340" w:type="dxa"/>
          </w:tcPr>
          <w:p w14:paraId="4EC8A227" w14:textId="0807C959" w:rsidR="00885688" w:rsidRPr="00B67021" w:rsidRDefault="00885688">
            <w:pPr>
              <w:rPr>
                <w:b/>
                <w:bCs/>
                <w:sz w:val="24"/>
                <w:szCs w:val="24"/>
              </w:rPr>
            </w:pPr>
            <w:r w:rsidRPr="00B67021">
              <w:rPr>
                <w:b/>
                <w:bCs/>
                <w:sz w:val="24"/>
                <w:szCs w:val="24"/>
              </w:rPr>
              <w:t>Fiscal Data Tab</w:t>
            </w:r>
          </w:p>
        </w:tc>
        <w:tc>
          <w:tcPr>
            <w:tcW w:w="8820" w:type="dxa"/>
          </w:tcPr>
          <w:p w14:paraId="0201A03E" w14:textId="548777BC" w:rsidR="00885688" w:rsidRDefault="00885688">
            <w:r>
              <w:t>The Fiscal Data is recommended to be populated with the projected obligation amounts for each Fiscal Year of the contract. These can be changed throughout the term of the contract. The total of all values in this section *cannot* exceed the Target Value of the contract. At a minimum, this field must be populated with the current and prior fiscal year values.</w:t>
            </w:r>
          </w:p>
        </w:tc>
      </w:tr>
      <w:tr w:rsidR="00885688" w14:paraId="774AF96E" w14:textId="77777777" w:rsidTr="00885688">
        <w:tc>
          <w:tcPr>
            <w:tcW w:w="2340" w:type="dxa"/>
          </w:tcPr>
          <w:p w14:paraId="392C2C65" w14:textId="3A25EC9D" w:rsidR="00885688" w:rsidRPr="00B67021" w:rsidRDefault="00885688">
            <w:pPr>
              <w:rPr>
                <w:b/>
                <w:bCs/>
                <w:sz w:val="24"/>
                <w:szCs w:val="24"/>
              </w:rPr>
            </w:pPr>
            <w:r w:rsidRPr="00B67021">
              <w:rPr>
                <w:b/>
                <w:bCs/>
                <w:sz w:val="24"/>
                <w:szCs w:val="24"/>
              </w:rPr>
              <w:t>Guaranteed Minimum</w:t>
            </w:r>
          </w:p>
        </w:tc>
        <w:tc>
          <w:tcPr>
            <w:tcW w:w="8820" w:type="dxa"/>
          </w:tcPr>
          <w:p w14:paraId="6EAFEF16" w14:textId="07237839" w:rsidR="00885688" w:rsidRDefault="00885688">
            <w:r>
              <w:t xml:space="preserve">This value must equal the total amount that is </w:t>
            </w:r>
            <w:proofErr w:type="gramStart"/>
            <w:r>
              <w:t>actually obligated</w:t>
            </w:r>
            <w:proofErr w:type="gramEnd"/>
            <w:r>
              <w:t xml:space="preserve"> on the contract. The amount obligated will </w:t>
            </w:r>
            <w:r w:rsidR="00CD2259">
              <w:t>be specified</w:t>
            </w:r>
            <w:r>
              <w:t xml:space="preserve"> by the Accounting Line(s) to be added.</w:t>
            </w:r>
          </w:p>
        </w:tc>
      </w:tr>
      <w:tr w:rsidR="00885688" w14:paraId="31B03D86" w14:textId="77777777" w:rsidTr="00885688">
        <w:tc>
          <w:tcPr>
            <w:tcW w:w="2340" w:type="dxa"/>
          </w:tcPr>
          <w:p w14:paraId="03BF3502" w14:textId="08F287D9" w:rsidR="00885688" w:rsidRPr="00B67021" w:rsidRDefault="00885688">
            <w:pPr>
              <w:rPr>
                <w:b/>
                <w:bCs/>
                <w:sz w:val="24"/>
                <w:szCs w:val="24"/>
              </w:rPr>
            </w:pPr>
            <w:r w:rsidRPr="00B67021">
              <w:rPr>
                <w:b/>
                <w:bCs/>
                <w:sz w:val="24"/>
                <w:szCs w:val="24"/>
              </w:rPr>
              <w:t>HANA View</w:t>
            </w:r>
          </w:p>
        </w:tc>
        <w:tc>
          <w:tcPr>
            <w:tcW w:w="8820" w:type="dxa"/>
          </w:tcPr>
          <w:p w14:paraId="59613031" w14:textId="00AA5FD2" w:rsidR="00885688" w:rsidRDefault="00885688">
            <w:r>
              <w:t>This is a field specific to Amplifund. It helps determine where the system will look in SAP to determine fund availability. The options are FM and GM. GM is to be used with an SAP Grant being referenced. FM should be used for all other situations.</w:t>
            </w:r>
          </w:p>
        </w:tc>
      </w:tr>
      <w:tr w:rsidR="00885688" w14:paraId="7A410E01" w14:textId="77777777" w:rsidTr="00885688">
        <w:tc>
          <w:tcPr>
            <w:tcW w:w="2340" w:type="dxa"/>
          </w:tcPr>
          <w:p w14:paraId="372151B2" w14:textId="3637B59F" w:rsidR="00885688" w:rsidRPr="00B67021" w:rsidRDefault="00885688">
            <w:pPr>
              <w:rPr>
                <w:b/>
                <w:bCs/>
                <w:sz w:val="24"/>
                <w:szCs w:val="24"/>
              </w:rPr>
            </w:pPr>
            <w:r w:rsidRPr="00B67021">
              <w:rPr>
                <w:b/>
                <w:bCs/>
                <w:sz w:val="24"/>
                <w:szCs w:val="24"/>
              </w:rPr>
              <w:t>Distribution Value</w:t>
            </w:r>
          </w:p>
        </w:tc>
        <w:tc>
          <w:tcPr>
            <w:tcW w:w="8820" w:type="dxa"/>
          </w:tcPr>
          <w:p w14:paraId="1447DF0D" w14:textId="23D54A80" w:rsidR="00885688" w:rsidRDefault="00885688">
            <w:r>
              <w:t xml:space="preserve">This value is the amount the users </w:t>
            </w:r>
            <w:proofErr w:type="gramStart"/>
            <w:r>
              <w:t>wishes</w:t>
            </w:r>
            <w:proofErr w:type="gramEnd"/>
            <w:r>
              <w:t xml:space="preserve"> to obligate for that line. The total of all lines of the obligation must equal the Guaranteed Minimum amount.</w:t>
            </w:r>
          </w:p>
        </w:tc>
      </w:tr>
      <w:tr w:rsidR="00885688" w14:paraId="292107C9" w14:textId="77777777" w:rsidTr="00885688">
        <w:tc>
          <w:tcPr>
            <w:tcW w:w="2340" w:type="dxa"/>
          </w:tcPr>
          <w:p w14:paraId="17DD1F92" w14:textId="054B3133" w:rsidR="00885688" w:rsidRPr="00B67021" w:rsidRDefault="00885688">
            <w:pPr>
              <w:rPr>
                <w:b/>
                <w:bCs/>
                <w:sz w:val="24"/>
                <w:szCs w:val="24"/>
              </w:rPr>
            </w:pPr>
            <w:r w:rsidRPr="00B67021">
              <w:rPr>
                <w:b/>
                <w:bCs/>
                <w:sz w:val="24"/>
                <w:szCs w:val="24"/>
              </w:rPr>
              <w:t>Fund</w:t>
            </w:r>
          </w:p>
        </w:tc>
        <w:tc>
          <w:tcPr>
            <w:tcW w:w="8820" w:type="dxa"/>
          </w:tcPr>
          <w:p w14:paraId="1910DE30" w14:textId="5D1AACFE" w:rsidR="00885688" w:rsidRDefault="00885688">
            <w:r>
              <w:t xml:space="preserve">This is the </w:t>
            </w:r>
            <w:r w:rsidR="00CD2259">
              <w:t>10-digit</w:t>
            </w:r>
            <w:r>
              <w:t xml:space="preserve"> SAP Fund Number that is being used to obligate. Upon entry of this number, additional fields will populate and only provide values that exist within that fund.</w:t>
            </w:r>
          </w:p>
        </w:tc>
      </w:tr>
      <w:tr w:rsidR="00885688" w14:paraId="2C640671" w14:textId="77777777" w:rsidTr="00885688">
        <w:tc>
          <w:tcPr>
            <w:tcW w:w="2340" w:type="dxa"/>
          </w:tcPr>
          <w:p w14:paraId="3F5E21E2" w14:textId="72B58BF4" w:rsidR="00885688" w:rsidRPr="00B67021" w:rsidRDefault="00885688">
            <w:pPr>
              <w:rPr>
                <w:b/>
                <w:bCs/>
                <w:sz w:val="24"/>
                <w:szCs w:val="24"/>
              </w:rPr>
            </w:pPr>
            <w:r w:rsidRPr="00B67021">
              <w:rPr>
                <w:b/>
                <w:bCs/>
                <w:sz w:val="24"/>
                <w:szCs w:val="24"/>
              </w:rPr>
              <w:t>Fund Center</w:t>
            </w:r>
          </w:p>
        </w:tc>
        <w:tc>
          <w:tcPr>
            <w:tcW w:w="8820" w:type="dxa"/>
          </w:tcPr>
          <w:p w14:paraId="1946B565" w14:textId="2CA05C88" w:rsidR="00885688" w:rsidRDefault="00885688">
            <w:r>
              <w:t xml:space="preserve">This is the </w:t>
            </w:r>
            <w:r w:rsidR="00CD2259">
              <w:t>10-digit</w:t>
            </w:r>
            <w:r>
              <w:t xml:space="preserve"> SAP Fund Center. After entering the Fund, only available Fund Centers within that Fund will be available on the dropdown.</w:t>
            </w:r>
          </w:p>
        </w:tc>
      </w:tr>
      <w:tr w:rsidR="00885688" w14:paraId="7C559133" w14:textId="77777777" w:rsidTr="00885688">
        <w:tc>
          <w:tcPr>
            <w:tcW w:w="2340" w:type="dxa"/>
          </w:tcPr>
          <w:p w14:paraId="067004B6" w14:textId="1CAE3026" w:rsidR="00885688" w:rsidRPr="00B67021" w:rsidRDefault="00885688">
            <w:pPr>
              <w:rPr>
                <w:b/>
                <w:bCs/>
                <w:sz w:val="24"/>
                <w:szCs w:val="24"/>
              </w:rPr>
            </w:pPr>
          </w:p>
        </w:tc>
        <w:tc>
          <w:tcPr>
            <w:tcW w:w="8820" w:type="dxa"/>
          </w:tcPr>
          <w:p w14:paraId="2EAB066D" w14:textId="77777777" w:rsidR="00885688" w:rsidRDefault="00885688">
            <w:r w:rsidRPr="003E6A05">
              <w:rPr>
                <w:b/>
                <w:bCs/>
              </w:rPr>
              <w:t>IMPORTANT</w:t>
            </w:r>
            <w:r>
              <w:rPr>
                <w:b/>
                <w:bCs/>
              </w:rPr>
              <w:t xml:space="preserve">: </w:t>
            </w:r>
            <w:r>
              <w:t xml:space="preserve">For agencies that have Fund Center rollups (using </w:t>
            </w:r>
            <w:proofErr w:type="gramStart"/>
            <w:r>
              <w:t>lower level</w:t>
            </w:r>
            <w:proofErr w:type="gramEnd"/>
            <w:r>
              <w:t xml:space="preserve"> fund centers but not budgeting to them), they will likely need to budget at least $1 to that lower level fund center for the desired Fund Center to populate. Work with your agency budget staff and the ERP FM SFE for more details.</w:t>
            </w:r>
          </w:p>
        </w:tc>
      </w:tr>
      <w:tr w:rsidR="00885688" w14:paraId="2C671CA3" w14:textId="77777777" w:rsidTr="00885688">
        <w:tc>
          <w:tcPr>
            <w:tcW w:w="2340" w:type="dxa"/>
          </w:tcPr>
          <w:p w14:paraId="632A5BBF" w14:textId="09042370" w:rsidR="00885688" w:rsidRPr="00B67021" w:rsidRDefault="00885688">
            <w:pPr>
              <w:rPr>
                <w:b/>
                <w:bCs/>
                <w:sz w:val="24"/>
                <w:szCs w:val="24"/>
              </w:rPr>
            </w:pPr>
            <w:r w:rsidRPr="00B67021">
              <w:rPr>
                <w:b/>
                <w:bCs/>
                <w:sz w:val="24"/>
                <w:szCs w:val="24"/>
              </w:rPr>
              <w:t>Functional Area</w:t>
            </w:r>
          </w:p>
        </w:tc>
        <w:tc>
          <w:tcPr>
            <w:tcW w:w="8820" w:type="dxa"/>
          </w:tcPr>
          <w:p w14:paraId="56E66CCA" w14:textId="76BEED8E" w:rsidR="00885688" w:rsidRPr="00F60418" w:rsidRDefault="00885688">
            <w:r>
              <w:t xml:space="preserve">This is the </w:t>
            </w:r>
            <w:r w:rsidR="00CD2259">
              <w:t>16-digit</w:t>
            </w:r>
            <w:r>
              <w:t xml:space="preserve"> SAP Functional Area. After entering the Fund Center, only available Functional Arears within that Fund Center will be available on the dropdown. </w:t>
            </w:r>
          </w:p>
        </w:tc>
      </w:tr>
      <w:tr w:rsidR="00885688" w14:paraId="0A1ACA1A" w14:textId="77777777" w:rsidTr="00885688">
        <w:tc>
          <w:tcPr>
            <w:tcW w:w="2340" w:type="dxa"/>
          </w:tcPr>
          <w:p w14:paraId="3E39FC1F" w14:textId="3EB3B50B" w:rsidR="00885688" w:rsidRPr="00B67021" w:rsidRDefault="00885688" w:rsidP="00184CA2">
            <w:pPr>
              <w:rPr>
                <w:b/>
                <w:bCs/>
                <w:sz w:val="24"/>
                <w:szCs w:val="24"/>
              </w:rPr>
            </w:pPr>
            <w:r w:rsidRPr="00B67021">
              <w:rPr>
                <w:b/>
                <w:bCs/>
                <w:sz w:val="24"/>
                <w:szCs w:val="24"/>
              </w:rPr>
              <w:t>Commitment Item</w:t>
            </w:r>
          </w:p>
        </w:tc>
        <w:tc>
          <w:tcPr>
            <w:tcW w:w="8820" w:type="dxa"/>
          </w:tcPr>
          <w:p w14:paraId="518A0302" w14:textId="10F8B7E9" w:rsidR="00885688" w:rsidRDefault="00885688" w:rsidP="00184CA2">
            <w:r>
              <w:t xml:space="preserve">This is the </w:t>
            </w:r>
            <w:r w:rsidR="00CD2259">
              <w:t>10-digit</w:t>
            </w:r>
            <w:r>
              <w:t xml:space="preserve"> SAP Commitment Item to be used. This field starts with 5 and is related to the IOC’s Detail Object Code.</w:t>
            </w:r>
          </w:p>
        </w:tc>
      </w:tr>
      <w:tr w:rsidR="00885688" w14:paraId="6C00ED06" w14:textId="77777777" w:rsidTr="00885688">
        <w:tc>
          <w:tcPr>
            <w:tcW w:w="2340" w:type="dxa"/>
          </w:tcPr>
          <w:p w14:paraId="5B142D1A" w14:textId="54FB61FE" w:rsidR="00885688" w:rsidRPr="00B67021" w:rsidRDefault="00885688" w:rsidP="00184CA2">
            <w:pPr>
              <w:rPr>
                <w:b/>
                <w:bCs/>
                <w:sz w:val="24"/>
                <w:szCs w:val="24"/>
              </w:rPr>
            </w:pPr>
            <w:r w:rsidRPr="00B67021">
              <w:rPr>
                <w:b/>
                <w:bCs/>
                <w:sz w:val="24"/>
                <w:szCs w:val="24"/>
              </w:rPr>
              <w:t>Budget Period</w:t>
            </w:r>
          </w:p>
        </w:tc>
        <w:tc>
          <w:tcPr>
            <w:tcW w:w="8820" w:type="dxa"/>
          </w:tcPr>
          <w:p w14:paraId="301328D8" w14:textId="39905D7C" w:rsidR="00885688" w:rsidRDefault="00885688" w:rsidP="00184CA2">
            <w:r>
              <w:t xml:space="preserve">This is the Budget Period to be used for the obligation. </w:t>
            </w:r>
          </w:p>
        </w:tc>
      </w:tr>
    </w:tbl>
    <w:p w14:paraId="17FE2E26" w14:textId="77777777" w:rsidR="0053217D" w:rsidRDefault="0053217D"/>
    <w:p w14:paraId="6FC65365" w14:textId="592F9DDD" w:rsidR="003E2BA4" w:rsidRPr="00665CCF" w:rsidRDefault="003E2BA4" w:rsidP="003E2BA4">
      <w:pPr>
        <w:rPr>
          <w:b/>
          <w:bCs/>
          <w:sz w:val="28"/>
          <w:szCs w:val="28"/>
          <w:u w:val="single"/>
        </w:rPr>
      </w:pPr>
      <w:r w:rsidRPr="00665CCF">
        <w:rPr>
          <w:b/>
          <w:bCs/>
          <w:sz w:val="28"/>
          <w:szCs w:val="28"/>
          <w:u w:val="single"/>
        </w:rPr>
        <w:t>Contract Management Activities</w:t>
      </w:r>
    </w:p>
    <w:p w14:paraId="267A48C6" w14:textId="73D7FD40" w:rsidR="003E2BA4" w:rsidRDefault="003E2BA4" w:rsidP="003E2BA4">
      <w:r>
        <w:t xml:space="preserve">This section outlines various downstream contract maintenance activities that may need to be performed and considered. </w:t>
      </w:r>
      <w:r w:rsidR="00210F86">
        <w:t xml:space="preserve">Please note that the term “Contract” may be used </w:t>
      </w:r>
      <w:r w:rsidR="003045CB">
        <w:t>interchangeably with “obligation” or “grant” throughout this document.</w:t>
      </w:r>
      <w:r w:rsidR="00A956EA">
        <w:t xml:space="preserve"> </w:t>
      </w:r>
    </w:p>
    <w:p w14:paraId="3C4689CE" w14:textId="77777777" w:rsidR="003E2BA4" w:rsidRDefault="003E2BA4" w:rsidP="003E2BA4">
      <w:pPr>
        <w:pStyle w:val="ListParagraph"/>
        <w:numPr>
          <w:ilvl w:val="0"/>
          <w:numId w:val="1"/>
        </w:numPr>
      </w:pPr>
      <w:r>
        <w:t>Interactions with SAP via Amplifund</w:t>
      </w:r>
    </w:p>
    <w:p w14:paraId="79216E50" w14:textId="5F60877C" w:rsidR="003E2BA4" w:rsidRDefault="003E2BA4" w:rsidP="003E2BA4">
      <w:pPr>
        <w:pStyle w:val="ListParagraph"/>
        <w:numPr>
          <w:ilvl w:val="1"/>
          <w:numId w:val="1"/>
        </w:numPr>
      </w:pPr>
      <w:r>
        <w:t xml:space="preserve">If </w:t>
      </w:r>
      <w:r w:rsidR="00C25835">
        <w:t>a</w:t>
      </w:r>
      <w:r>
        <w:t xml:space="preserve"> contract submission goes to SAP, but it is discovered that the submission is not correct as is, the user can resubmit the contract from Amplifund (“Copy” in Amplifund, adjust the appropriate information) to SAP. It will overwrite the existing submission that is in SAP.</w:t>
      </w:r>
    </w:p>
    <w:p w14:paraId="6B817E48" w14:textId="3EE5414F" w:rsidR="003E2BA4" w:rsidRDefault="003E2BA4" w:rsidP="00C25835">
      <w:pPr>
        <w:pStyle w:val="ListParagraph"/>
        <w:numPr>
          <w:ilvl w:val="2"/>
          <w:numId w:val="1"/>
        </w:numPr>
      </w:pPr>
      <w:r>
        <w:t>However, the contract in SAP must not be edited for the interface to allow the resubmission.</w:t>
      </w:r>
    </w:p>
    <w:p w14:paraId="7EE170F4" w14:textId="640C3212" w:rsidR="00C25835" w:rsidRPr="008D08EE" w:rsidRDefault="00C25835" w:rsidP="00C25835">
      <w:pPr>
        <w:pStyle w:val="ListParagraph"/>
        <w:numPr>
          <w:ilvl w:val="2"/>
          <w:numId w:val="1"/>
        </w:numPr>
      </w:pPr>
      <w:r>
        <w:t xml:space="preserve">This works for both original </w:t>
      </w:r>
      <w:r w:rsidR="007A5B9B">
        <w:t>contract submissions (establishments) and modifications.</w:t>
      </w:r>
    </w:p>
    <w:p w14:paraId="61D6772F" w14:textId="77777777" w:rsidR="003E2BA4" w:rsidRDefault="003E2BA4" w:rsidP="003E2BA4">
      <w:pPr>
        <w:pStyle w:val="ListParagraph"/>
        <w:numPr>
          <w:ilvl w:val="0"/>
          <w:numId w:val="1"/>
        </w:numPr>
      </w:pPr>
      <w:r w:rsidRPr="007E2B0D">
        <w:rPr>
          <w:b/>
          <w:bCs/>
        </w:rPr>
        <w:t>IOC Rejections</w:t>
      </w:r>
      <w:r>
        <w:t xml:space="preserve"> – There are times where a transaction sent to the IOC is rejected by their contract review office for various reasons.</w:t>
      </w:r>
    </w:p>
    <w:p w14:paraId="7BA72228" w14:textId="77777777" w:rsidR="003E2BA4" w:rsidRDefault="003E2BA4" w:rsidP="003E2BA4">
      <w:pPr>
        <w:pStyle w:val="ListParagraph"/>
        <w:numPr>
          <w:ilvl w:val="1"/>
          <w:numId w:val="1"/>
        </w:numPr>
      </w:pPr>
      <w:r>
        <w:t>Establishments – For the first transaction of a contract for a Fiscal Year (First overall transaction or the first one for a specific fiscal year)</w:t>
      </w:r>
    </w:p>
    <w:p w14:paraId="55D661CD" w14:textId="77777777" w:rsidR="003E2BA4" w:rsidRDefault="003E2BA4" w:rsidP="003E2BA4">
      <w:pPr>
        <w:pStyle w:val="ListParagraph"/>
        <w:numPr>
          <w:ilvl w:val="2"/>
          <w:numId w:val="1"/>
        </w:numPr>
      </w:pPr>
      <w:r>
        <w:t>The first step is to request the Backend Deletion via Service Now ticket. Agency process may dictate who and how this process is handled.</w:t>
      </w:r>
    </w:p>
    <w:p w14:paraId="1C72C653" w14:textId="77777777" w:rsidR="003E2BA4" w:rsidRDefault="003E2BA4" w:rsidP="003E2BA4">
      <w:pPr>
        <w:pStyle w:val="ListParagraph"/>
        <w:numPr>
          <w:ilvl w:val="2"/>
          <w:numId w:val="1"/>
        </w:numPr>
      </w:pPr>
      <w:r>
        <w:t xml:space="preserve">Once Deloitte AMS confirms this has been done, in Amplifund a user should copy the contract and resend as is while making any changes IOC potentially needed. If there were no specific </w:t>
      </w:r>
      <w:r>
        <w:lastRenderedPageBreak/>
        <w:t xml:space="preserve">changes to the inputs in the system required, then making </w:t>
      </w:r>
      <w:r>
        <w:rPr>
          <w:b/>
          <w:bCs/>
        </w:rPr>
        <w:t>1</w:t>
      </w:r>
      <w:r>
        <w:t xml:space="preserve"> minor change is necessary. </w:t>
      </w:r>
      <w:proofErr w:type="gramStart"/>
      <w:r>
        <w:t>Typically</w:t>
      </w:r>
      <w:proofErr w:type="gramEnd"/>
      <w:r>
        <w:t xml:space="preserve"> that is done by adding a period to the “Header Text” section.</w:t>
      </w:r>
    </w:p>
    <w:p w14:paraId="7A2F1140" w14:textId="77777777" w:rsidR="003E2BA4" w:rsidRDefault="003E2BA4" w:rsidP="003E2BA4">
      <w:pPr>
        <w:pStyle w:val="ListParagraph"/>
        <w:numPr>
          <w:ilvl w:val="1"/>
          <w:numId w:val="1"/>
        </w:numPr>
      </w:pPr>
      <w:r>
        <w:t>Modification – This pertains to an IOC rejection for any subsequent contract transaction in a fiscal year (not the first one). There are 2 options to fix contracts rejected in this manner:</w:t>
      </w:r>
    </w:p>
    <w:p w14:paraId="7AB5BFCE" w14:textId="1801E9E8" w:rsidR="003E2BA4" w:rsidRDefault="003E2BA4" w:rsidP="003E2BA4">
      <w:pPr>
        <w:pStyle w:val="ListParagraph"/>
        <w:numPr>
          <w:ilvl w:val="2"/>
          <w:numId w:val="1"/>
        </w:numPr>
      </w:pPr>
      <w:r>
        <w:t xml:space="preserve">Users can request backend modification. If that’s the case, copy contract and resend as is while making any changes IOC potentially needed. If none were required on the entry, do make at least one small change (extra period in </w:t>
      </w:r>
      <w:r w:rsidR="00963445">
        <w:t>“Header Text”</w:t>
      </w:r>
      <w:r>
        <w:t xml:space="preserve"> usually works)</w:t>
      </w:r>
    </w:p>
    <w:p w14:paraId="298C2FE8" w14:textId="77777777" w:rsidR="003E2BA4" w:rsidRDefault="003E2BA4" w:rsidP="003E2BA4">
      <w:pPr>
        <w:pStyle w:val="ListParagraph"/>
        <w:numPr>
          <w:ilvl w:val="2"/>
          <w:numId w:val="1"/>
        </w:numPr>
      </w:pPr>
      <w:r>
        <w:t xml:space="preserve">To avoid a ticket, a user can process a change via AF to return contract to previous value with Do Not Send to SAMS activated. Once that’s approved in SAP, can initiate a second transaction to re-do the desired change with Do Not Send to SAMS unchecked. </w:t>
      </w:r>
      <w:r>
        <w:br/>
      </w:r>
    </w:p>
    <w:p w14:paraId="0216AAAE" w14:textId="77777777" w:rsidR="003E2BA4" w:rsidRPr="007E2B0D" w:rsidRDefault="003E2BA4" w:rsidP="003E2BA4">
      <w:pPr>
        <w:pStyle w:val="ListParagraph"/>
        <w:numPr>
          <w:ilvl w:val="0"/>
          <w:numId w:val="1"/>
        </w:numPr>
        <w:rPr>
          <w:b/>
          <w:bCs/>
        </w:rPr>
      </w:pPr>
      <w:proofErr w:type="spellStart"/>
      <w:r w:rsidRPr="007E2B0D">
        <w:rPr>
          <w:b/>
          <w:bCs/>
        </w:rPr>
        <w:t>Novations</w:t>
      </w:r>
      <w:proofErr w:type="spellEnd"/>
      <w:r>
        <w:rPr>
          <w:b/>
          <w:bCs/>
        </w:rPr>
        <w:t xml:space="preserve"> –</w:t>
      </w:r>
      <w:r>
        <w:t xml:space="preserve"> </w:t>
      </w:r>
      <w:proofErr w:type="spellStart"/>
      <w:r>
        <w:t>Novations</w:t>
      </w:r>
      <w:proofErr w:type="spellEnd"/>
      <w:r>
        <w:t xml:space="preserve"> are vendor changes to the contract after it has been approved in SAP. The need for a novation is variable and the required steps</w:t>
      </w:r>
    </w:p>
    <w:p w14:paraId="3A9E8F0E" w14:textId="77777777" w:rsidR="003E2BA4" w:rsidRDefault="003E2BA4" w:rsidP="003E2BA4">
      <w:pPr>
        <w:pStyle w:val="ListParagraph"/>
        <w:numPr>
          <w:ilvl w:val="1"/>
          <w:numId w:val="1"/>
        </w:numPr>
      </w:pPr>
      <w:r>
        <w:t>Same FEIN</w:t>
      </w:r>
    </w:p>
    <w:p w14:paraId="6FE2EE9E" w14:textId="1A14A283" w:rsidR="003E2BA4" w:rsidRDefault="003E2BA4" w:rsidP="003E2BA4">
      <w:pPr>
        <w:pStyle w:val="ListParagraph"/>
        <w:numPr>
          <w:ilvl w:val="2"/>
          <w:numId w:val="1"/>
        </w:numPr>
      </w:pPr>
      <w:r>
        <w:t>Change to IOC: Submit change in AF and get that approved. The same day as that approval, need to file ticket requesting Novation. Clarify that it relates to an Amplifund Contract that must go over the same day. Email</w:t>
      </w:r>
      <w:r w:rsidR="00B41E64">
        <w:t xml:space="preserve"> SAP Procurement</w:t>
      </w:r>
      <w:r>
        <w:t xml:space="preserve"> SFE as well.</w:t>
      </w:r>
    </w:p>
    <w:p w14:paraId="6FE90EC5" w14:textId="77777777" w:rsidR="003E2BA4" w:rsidRDefault="003E2BA4" w:rsidP="003E2BA4">
      <w:pPr>
        <w:pStyle w:val="ListParagraph"/>
        <w:numPr>
          <w:ilvl w:val="2"/>
          <w:numId w:val="1"/>
        </w:numPr>
      </w:pPr>
      <w:r>
        <w:t>Change not to IOC – Same, just don’t need to express urgency</w:t>
      </w:r>
    </w:p>
    <w:p w14:paraId="5AE880A5" w14:textId="508E8F92" w:rsidR="003E2BA4" w:rsidRDefault="003E2BA4" w:rsidP="003E2BA4">
      <w:pPr>
        <w:pStyle w:val="ListParagraph"/>
        <w:numPr>
          <w:ilvl w:val="1"/>
          <w:numId w:val="1"/>
        </w:numPr>
      </w:pPr>
      <w:r>
        <w:t>New FEIN, same Ob Numbers,</w:t>
      </w:r>
    </w:p>
    <w:p w14:paraId="249C1522" w14:textId="77777777" w:rsidR="003E2BA4" w:rsidRDefault="003E2BA4" w:rsidP="003E2BA4">
      <w:pPr>
        <w:pStyle w:val="ListParagraph"/>
        <w:numPr>
          <w:ilvl w:val="2"/>
          <w:numId w:val="1"/>
        </w:numPr>
      </w:pPr>
      <w:r>
        <w:t>Agency Contract Reference needs updated, click Plus for a new contract as a new number is needed. New Contract needs to have the Original SAP Contract Number (starting 41xx) in as the Old Contract Number.</w:t>
      </w:r>
    </w:p>
    <w:p w14:paraId="12E36F01" w14:textId="77777777" w:rsidR="003E2BA4" w:rsidRDefault="003E2BA4" w:rsidP="003E2BA4">
      <w:pPr>
        <w:pStyle w:val="ListParagraph"/>
        <w:numPr>
          <w:ilvl w:val="1"/>
          <w:numId w:val="1"/>
        </w:numPr>
      </w:pPr>
      <w:r>
        <w:t>Obligation Number Changes</w:t>
      </w:r>
    </w:p>
    <w:p w14:paraId="3A262EF0" w14:textId="5CBC5EA9" w:rsidR="003E2BA4" w:rsidRDefault="003E2BA4" w:rsidP="003E2BA4">
      <w:pPr>
        <w:pStyle w:val="ListParagraph"/>
        <w:numPr>
          <w:ilvl w:val="2"/>
          <w:numId w:val="1"/>
        </w:numPr>
      </w:pPr>
      <w:r>
        <w:t xml:space="preserve">Agency Contract Reference needs updated, click </w:t>
      </w:r>
      <w:r w:rsidR="00B06E8B">
        <w:t>the p</w:t>
      </w:r>
      <w:r>
        <w:t>lus for a new contract as a new number is needed. New Contract needs to have a new obligation number. If Old Contract Number is used by the agency, it needs to be a new one in sequence. If OCN is not, the new SRM contract number serves as the new contract number.</w:t>
      </w:r>
    </w:p>
    <w:p w14:paraId="0460887B" w14:textId="77777777" w:rsidR="001C4441" w:rsidRDefault="001C4441" w:rsidP="001C4441"/>
    <w:p w14:paraId="65E38227" w14:textId="77777777" w:rsidR="003E2BA4" w:rsidRDefault="003E2BA4" w:rsidP="003E2BA4">
      <w:pPr>
        <w:pStyle w:val="ListParagraph"/>
        <w:numPr>
          <w:ilvl w:val="0"/>
          <w:numId w:val="1"/>
        </w:numPr>
      </w:pPr>
      <w:r>
        <w:t>Changing Details on Obligations</w:t>
      </w:r>
    </w:p>
    <w:p w14:paraId="6405119E" w14:textId="77777777" w:rsidR="003E2BA4" w:rsidRDefault="003E2BA4" w:rsidP="003E2BA4">
      <w:pPr>
        <w:pStyle w:val="ListParagraph"/>
        <w:numPr>
          <w:ilvl w:val="1"/>
          <w:numId w:val="1"/>
        </w:numPr>
      </w:pPr>
      <w:r>
        <w:t>Values</w:t>
      </w:r>
    </w:p>
    <w:p w14:paraId="3181D97A" w14:textId="77777777" w:rsidR="003E2BA4" w:rsidRDefault="003E2BA4" w:rsidP="003E2BA4">
      <w:pPr>
        <w:pStyle w:val="ListParagraph"/>
        <w:numPr>
          <w:ilvl w:val="2"/>
          <w:numId w:val="1"/>
        </w:numPr>
      </w:pPr>
      <w:r>
        <w:t>As applicable, modify the value on the line item(s) on the Amplifund obligation</w:t>
      </w:r>
    </w:p>
    <w:p w14:paraId="5D80F98E" w14:textId="77777777" w:rsidR="003E2BA4" w:rsidRDefault="003E2BA4" w:rsidP="003E2BA4">
      <w:pPr>
        <w:pStyle w:val="ListParagraph"/>
        <w:numPr>
          <w:ilvl w:val="1"/>
          <w:numId w:val="1"/>
        </w:numPr>
      </w:pPr>
      <w:r>
        <w:t>Account Assignment Details</w:t>
      </w:r>
    </w:p>
    <w:p w14:paraId="37F2AD6E" w14:textId="403ADF93" w:rsidR="003E2BA4" w:rsidRDefault="003E2BA4" w:rsidP="003E2BA4">
      <w:pPr>
        <w:pStyle w:val="ListParagraph"/>
        <w:numPr>
          <w:ilvl w:val="2"/>
          <w:numId w:val="1"/>
        </w:numPr>
      </w:pPr>
      <w:r>
        <w:t xml:space="preserve">The line affected must have the value reduced to zero or </w:t>
      </w:r>
      <w:r w:rsidR="004466A3">
        <w:t xml:space="preserve">down to </w:t>
      </w:r>
      <w:r>
        <w:t>the amount paid against that obligation. A new line should be created for the changed details and new amount.</w:t>
      </w:r>
    </w:p>
    <w:p w14:paraId="73F41D90" w14:textId="77777777" w:rsidR="003E2BA4" w:rsidRDefault="003E2BA4" w:rsidP="003E2BA4">
      <w:pPr>
        <w:pStyle w:val="ListParagraph"/>
        <w:numPr>
          <w:ilvl w:val="0"/>
          <w:numId w:val="1"/>
        </w:numPr>
      </w:pPr>
      <w:r>
        <w:t>Correcting AF-SAP Contracts before approval</w:t>
      </w:r>
    </w:p>
    <w:p w14:paraId="771F1DE3" w14:textId="77777777" w:rsidR="003E2BA4" w:rsidRDefault="003E2BA4" w:rsidP="003E2BA4">
      <w:pPr>
        <w:pStyle w:val="ListParagraph"/>
        <w:numPr>
          <w:ilvl w:val="1"/>
          <w:numId w:val="1"/>
        </w:numPr>
      </w:pPr>
      <w:r>
        <w:t>Attachments</w:t>
      </w:r>
    </w:p>
    <w:p w14:paraId="7FCA81FA" w14:textId="274483D4" w:rsidR="003E2BA4" w:rsidRDefault="00C63C3A" w:rsidP="003E2BA4">
      <w:pPr>
        <w:pStyle w:val="ListParagraph"/>
        <w:numPr>
          <w:ilvl w:val="2"/>
          <w:numId w:val="1"/>
        </w:numPr>
      </w:pPr>
      <w:r>
        <w:t xml:space="preserve">Attachments do not </w:t>
      </w:r>
      <w:r w:rsidR="00FF7166">
        <w:t>transport via the interface. Any desired attachments for the contract, must be attached during the approval process. The Contract Approver role can attach any necessary attachments before approving the contract.</w:t>
      </w:r>
    </w:p>
    <w:p w14:paraId="49110CD4" w14:textId="77777777" w:rsidR="003E2BA4" w:rsidRDefault="003E2BA4" w:rsidP="00801D39">
      <w:pPr>
        <w:pStyle w:val="ListParagraph"/>
        <w:numPr>
          <w:ilvl w:val="0"/>
          <w:numId w:val="1"/>
        </w:numPr>
      </w:pPr>
      <w:r>
        <w:t>Amplifund Specific Fields in SRM</w:t>
      </w:r>
    </w:p>
    <w:p w14:paraId="063072F7" w14:textId="70053B33" w:rsidR="00B65410" w:rsidRDefault="003E2BA4" w:rsidP="00801D39">
      <w:pPr>
        <w:pStyle w:val="ListParagraph"/>
        <w:numPr>
          <w:ilvl w:val="1"/>
          <w:numId w:val="1"/>
        </w:numPr>
      </w:pPr>
      <w:r>
        <w:t xml:space="preserve">Header Text </w:t>
      </w:r>
      <w:proofErr w:type="gramStart"/>
      <w:r>
        <w:t xml:space="preserve">-  </w:t>
      </w:r>
      <w:r w:rsidR="004F4825">
        <w:t>In</w:t>
      </w:r>
      <w:proofErr w:type="gramEnd"/>
      <w:r w:rsidR="004F4825">
        <w:t xml:space="preserve"> SRM, there are 2 pertinent text fields: Header Establishment Text and Header Modification Text.</w:t>
      </w:r>
      <w:r w:rsidR="00873718">
        <w:t xml:space="preserve"> Those are separate fields</w:t>
      </w:r>
      <w:r w:rsidR="00177F96">
        <w:t xml:space="preserve"> on the contract. There is only one field in Amplifund. As such, </w:t>
      </w:r>
      <w:r w:rsidR="000C7D97">
        <w:t>SRM will automatically assign the text based on the transaction it detects</w:t>
      </w:r>
      <w:r w:rsidR="00D82544">
        <w:t xml:space="preserve"> (modification vs establishment)</w:t>
      </w:r>
      <w:r w:rsidR="005B65F6">
        <w:t xml:space="preserve"> will be created.</w:t>
      </w:r>
    </w:p>
    <w:p w14:paraId="2FED0809" w14:textId="48104BB3" w:rsidR="00C66953" w:rsidRDefault="00C66953" w:rsidP="00801D39">
      <w:pPr>
        <w:pStyle w:val="ListParagraph"/>
        <w:numPr>
          <w:ilvl w:val="2"/>
          <w:numId w:val="1"/>
        </w:numPr>
      </w:pPr>
      <w:r>
        <w:t xml:space="preserve">This dictates that the most efficient way to have text </w:t>
      </w:r>
      <w:r w:rsidR="00CC0ED5">
        <w:t xml:space="preserve">produced properly is to have those transactions </w:t>
      </w:r>
      <w:r w:rsidR="00801D39">
        <w:t>be on separate days.</w:t>
      </w:r>
    </w:p>
    <w:p w14:paraId="6B58A8DE" w14:textId="3E522B6D" w:rsidR="00455C17" w:rsidRDefault="000D1D5E" w:rsidP="00455C17">
      <w:pPr>
        <w:pStyle w:val="ListParagraph"/>
        <w:numPr>
          <w:ilvl w:val="0"/>
          <w:numId w:val="1"/>
        </w:numPr>
      </w:pPr>
      <w:r>
        <w:rPr>
          <w:b/>
          <w:bCs/>
        </w:rPr>
        <w:lastRenderedPageBreak/>
        <w:t>Contract Rollovers</w:t>
      </w:r>
      <w:r>
        <w:t xml:space="preserve"> – </w:t>
      </w:r>
      <w:r w:rsidR="006334EE">
        <w:t xml:space="preserve">At the current time, contract rollovers done </w:t>
      </w:r>
      <w:r w:rsidR="00D75304">
        <w:t>as a 1-step process are allowed by the IOC</w:t>
      </w:r>
      <w:r w:rsidR="005055B9">
        <w:t xml:space="preserve">, i.e. both the </w:t>
      </w:r>
      <w:proofErr w:type="spellStart"/>
      <w:r w:rsidR="005055B9">
        <w:t>deobligation</w:t>
      </w:r>
      <w:proofErr w:type="spellEnd"/>
      <w:r w:rsidR="005055B9">
        <w:t xml:space="preserve"> and the establishment of the next year on the same transaction</w:t>
      </w:r>
      <w:r w:rsidR="00D75304">
        <w:t xml:space="preserve">. However, </w:t>
      </w:r>
      <w:r w:rsidR="00040856">
        <w:t>currently with only 1 text field in Amplifund</w:t>
      </w:r>
      <w:r w:rsidR="00251F6C">
        <w:t xml:space="preserve">, it is required for rollovers from Amplifund to be a 2-step/2-day process, </w:t>
      </w:r>
      <w:r w:rsidR="00836B0D">
        <w:t xml:space="preserve">with the </w:t>
      </w:r>
      <w:proofErr w:type="spellStart"/>
      <w:r w:rsidR="00836B0D">
        <w:t>deobligation</w:t>
      </w:r>
      <w:proofErr w:type="spellEnd"/>
      <w:r w:rsidR="00836B0D">
        <w:t xml:space="preserve"> for the prior FY first on Day 1, and the </w:t>
      </w:r>
      <w:r w:rsidR="005055B9">
        <w:t>establishment after the first obligation has cleared the IOC.</w:t>
      </w:r>
      <w:r w:rsidR="00455C17">
        <w:t xml:space="preserve"> </w:t>
      </w:r>
    </w:p>
    <w:p w14:paraId="157CE490" w14:textId="77777777" w:rsidR="00735782" w:rsidRDefault="00734D77" w:rsidP="00734D77">
      <w:pPr>
        <w:pStyle w:val="ListParagraph"/>
        <w:numPr>
          <w:ilvl w:val="1"/>
          <w:numId w:val="1"/>
        </w:numPr>
      </w:pPr>
      <w:r>
        <w:rPr>
          <w:b/>
          <w:bCs/>
        </w:rPr>
        <w:t>P</w:t>
      </w:r>
      <w:r w:rsidR="00EC6BF5">
        <w:rPr>
          <w:b/>
          <w:bCs/>
        </w:rPr>
        <w:t>rerequisite</w:t>
      </w:r>
      <w:r w:rsidR="00735782">
        <w:rPr>
          <w:b/>
          <w:bCs/>
        </w:rPr>
        <w:t>s</w:t>
      </w:r>
      <w:r w:rsidR="00EC6BF5">
        <w:rPr>
          <w:b/>
          <w:bCs/>
        </w:rPr>
        <w:t xml:space="preserve"> </w:t>
      </w:r>
      <w:r w:rsidR="00EC6BF5">
        <w:t xml:space="preserve">– </w:t>
      </w:r>
    </w:p>
    <w:p w14:paraId="3CE9A5BA" w14:textId="7C6EACCE" w:rsidR="00734D77" w:rsidRDefault="00F6509A" w:rsidP="00735782">
      <w:pPr>
        <w:pStyle w:val="ListParagraph"/>
        <w:numPr>
          <w:ilvl w:val="2"/>
          <w:numId w:val="1"/>
        </w:numPr>
      </w:pPr>
      <w:r>
        <w:t>For</w:t>
      </w:r>
      <w:r w:rsidR="00EC6BF5">
        <w:t xml:space="preserve"> a contract to have funds set up in the new fiscal year, that contract EMF needs to be rolled over into the new Fiscal Year/Budget Period.</w:t>
      </w:r>
      <w:r>
        <w:t xml:space="preserve"> The carryforward template excel file should be sent to the F</w:t>
      </w:r>
      <w:r w:rsidR="0053231A">
        <w:t>unds Management</w:t>
      </w:r>
      <w:r>
        <w:t xml:space="preserve"> SFE, Matt Sporrer.</w:t>
      </w:r>
    </w:p>
    <w:p w14:paraId="1D7E6F0A" w14:textId="5A91F9AC" w:rsidR="00F6509A" w:rsidRDefault="00343E7D" w:rsidP="00735782">
      <w:pPr>
        <w:pStyle w:val="ListParagraph"/>
        <w:numPr>
          <w:ilvl w:val="2"/>
          <w:numId w:val="1"/>
        </w:numPr>
      </w:pPr>
      <w:r>
        <w:t xml:space="preserve">The contract </w:t>
      </w:r>
      <w:r w:rsidR="00BE33D6">
        <w:t xml:space="preserve">must have service dates in the new fiscal year to have </w:t>
      </w:r>
      <w:r w:rsidR="000C2759">
        <w:t>accounting data established in the new fiscal year. (At curren</w:t>
      </w:r>
      <w:r w:rsidR="00472AD6">
        <w:t xml:space="preserve">t time, the dates can be updated on the award in Amplifund, but do not push over to the contract transaction so if the date is </w:t>
      </w:r>
      <w:r w:rsidR="002D126D">
        <w:t>updated in Amplifund, it likely needs manually updated in SAP until a fix is deployed)</w:t>
      </w:r>
      <w:r w:rsidR="007D57DC">
        <w:t>.</w:t>
      </w:r>
    </w:p>
    <w:p w14:paraId="7700256A" w14:textId="675F0EB8" w:rsidR="00D47E2A" w:rsidRDefault="00F7086C" w:rsidP="00D47E2A">
      <w:pPr>
        <w:pStyle w:val="ListParagraph"/>
        <w:numPr>
          <w:ilvl w:val="3"/>
          <w:numId w:val="1"/>
        </w:numPr>
      </w:pPr>
      <w:r>
        <w:t>I</w:t>
      </w:r>
      <w:r w:rsidR="00D47E2A">
        <w:t xml:space="preserve">ncludes 1-day rollovers </w:t>
      </w:r>
      <w:r w:rsidR="00953D4F">
        <w:t xml:space="preserve">to </w:t>
      </w:r>
      <w:r w:rsidR="00005130">
        <w:t>have the end date amended to 7/1/20XX.</w:t>
      </w:r>
    </w:p>
    <w:p w14:paraId="51FCBD44" w14:textId="320BA790" w:rsidR="00D64546" w:rsidRDefault="00D64546" w:rsidP="00D64546">
      <w:pPr>
        <w:pStyle w:val="ListParagraph"/>
        <w:numPr>
          <w:ilvl w:val="1"/>
          <w:numId w:val="1"/>
        </w:numPr>
      </w:pPr>
      <w:r>
        <w:rPr>
          <w:b/>
          <w:bCs/>
        </w:rPr>
        <w:t xml:space="preserve">Day 1 </w:t>
      </w:r>
      <w:r>
        <w:t xml:space="preserve">– In Amplifund, the user should reduce the amount of the prior year </w:t>
      </w:r>
      <w:r w:rsidR="00EB4E34">
        <w:t xml:space="preserve">obligation to the amount spent or to zero, whichever is greater. </w:t>
      </w:r>
      <w:r w:rsidR="007435BD">
        <w:t>FMX3 can help users look up the spent balance</w:t>
      </w:r>
      <w:r w:rsidR="00A53320">
        <w:t>.</w:t>
      </w:r>
      <w:r w:rsidR="00127533">
        <w:t xml:space="preserve"> That transaction would </w:t>
      </w:r>
      <w:r w:rsidR="00B03D7B">
        <w:t xml:space="preserve">potentially need to go to the IOC for them to clear out the prior FY balance. However, post-lapse, it is likely this transaction </w:t>
      </w:r>
      <w:r w:rsidR="00734D77">
        <w:t>would need Do Not Send to SAMS activated</w:t>
      </w:r>
      <w:r w:rsidR="001634D2">
        <w:t xml:space="preserve">, as the IOC automatically clears unspent balances after lapse for the prior fiscal year. </w:t>
      </w:r>
      <w:r w:rsidR="000219ED">
        <w:t>The text supplied on the Amplifund transaction will go to Header Modification Text.</w:t>
      </w:r>
    </w:p>
    <w:p w14:paraId="0595CFAC" w14:textId="4B0DA566" w:rsidR="00B64DA4" w:rsidRDefault="00B64DA4" w:rsidP="00B64DA4">
      <w:pPr>
        <w:pStyle w:val="ListParagraph"/>
        <w:numPr>
          <w:ilvl w:val="2"/>
          <w:numId w:val="1"/>
        </w:numPr>
      </w:pPr>
      <w:r>
        <w:t xml:space="preserve">Before </w:t>
      </w:r>
      <w:r w:rsidR="0049738E">
        <w:t>the next transaction</w:t>
      </w:r>
      <w:r w:rsidR="00495E37">
        <w:t xml:space="preserve">, the EMF Carryforward must be completed. For planning purposes, that usually takes up </w:t>
      </w:r>
      <w:r w:rsidR="0053231A">
        <w:t>1-2 days at most to complete once it is sent to the FM SFE</w:t>
      </w:r>
      <w:r w:rsidR="00EC1FEF">
        <w:t>.</w:t>
      </w:r>
    </w:p>
    <w:p w14:paraId="11989D64" w14:textId="194EB0F6" w:rsidR="001C4441" w:rsidRDefault="00E34F43" w:rsidP="001C4441">
      <w:pPr>
        <w:pStyle w:val="ListParagraph"/>
        <w:numPr>
          <w:ilvl w:val="1"/>
          <w:numId w:val="1"/>
        </w:numPr>
      </w:pPr>
      <w:r w:rsidRPr="001C4441">
        <w:rPr>
          <w:b/>
          <w:bCs/>
        </w:rPr>
        <w:t xml:space="preserve">Future Day </w:t>
      </w:r>
      <w:r w:rsidR="00CA39C7" w:rsidRPr="001C4441">
        <w:rPr>
          <w:b/>
          <w:bCs/>
        </w:rPr>
        <w:t>–</w:t>
      </w:r>
      <w:r w:rsidR="00FE05DF" w:rsidRPr="001C4441">
        <w:rPr>
          <w:b/>
          <w:bCs/>
        </w:rPr>
        <w:t xml:space="preserve"> </w:t>
      </w:r>
      <w:r w:rsidR="00874F82">
        <w:t xml:space="preserve">The establishment obligation </w:t>
      </w:r>
      <w:r w:rsidR="0082343E">
        <w:t xml:space="preserve">will be processed </w:t>
      </w:r>
      <w:r w:rsidR="0028399F">
        <w:t xml:space="preserve">on a future date. The date appropriate would depend on the Do Not Send to SAMS indicator as well as if the </w:t>
      </w:r>
      <w:r w:rsidR="00D6094B">
        <w:t xml:space="preserve">transaction was sent after or before lapse was over. </w:t>
      </w:r>
      <w:r w:rsidR="006305B5">
        <w:t xml:space="preserve">The text supplied on the Amplifund </w:t>
      </w:r>
      <w:r w:rsidR="004023A4">
        <w:t xml:space="preserve">transaction will go to Header Establishment Text if the transaction is the first one for the new fiscal year. The contract should be set up for the amount desired </w:t>
      </w:r>
      <w:r w:rsidR="00D47E2A">
        <w:t>for the new fiscal year.</w:t>
      </w:r>
    </w:p>
    <w:p w14:paraId="3AB663FD" w14:textId="7732A834" w:rsidR="00EC1FEF" w:rsidRDefault="001C4441" w:rsidP="001C4441">
      <w:r>
        <w:t>Any additional questions, please forward them to Amplifund and/or the SAP Procurement SFE.</w:t>
      </w:r>
      <w:r w:rsidR="000219ED">
        <w:br/>
      </w:r>
    </w:p>
    <w:sectPr w:rsidR="00EC1FEF" w:rsidSect="00165D2C">
      <w:headerReference w:type="default" r:id="rId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D7FC" w14:textId="77777777" w:rsidR="00013B50" w:rsidRDefault="00013B50" w:rsidP="00F64D70">
      <w:pPr>
        <w:spacing w:after="0" w:line="240" w:lineRule="auto"/>
      </w:pPr>
      <w:r>
        <w:separator/>
      </w:r>
    </w:p>
  </w:endnote>
  <w:endnote w:type="continuationSeparator" w:id="0">
    <w:p w14:paraId="487C5615" w14:textId="77777777" w:rsidR="00013B50" w:rsidRDefault="00013B50" w:rsidP="00F6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FD88D" w14:textId="77777777" w:rsidR="00013B50" w:rsidRDefault="00013B50" w:rsidP="00F64D70">
      <w:pPr>
        <w:spacing w:after="0" w:line="240" w:lineRule="auto"/>
      </w:pPr>
      <w:r>
        <w:separator/>
      </w:r>
    </w:p>
  </w:footnote>
  <w:footnote w:type="continuationSeparator" w:id="0">
    <w:p w14:paraId="6DBA5360" w14:textId="77777777" w:rsidR="00013B50" w:rsidRDefault="00013B50" w:rsidP="00F64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180C" w14:textId="371D4FB8" w:rsidR="00F64D70" w:rsidRDefault="00F64D70" w:rsidP="00F64D70">
    <w:pPr>
      <w:pStyle w:val="Header"/>
      <w:jc w:val="center"/>
      <w:rPr>
        <w:b/>
        <w:bCs/>
        <w:sz w:val="28"/>
        <w:szCs w:val="28"/>
      </w:rPr>
    </w:pPr>
    <w:r w:rsidRPr="00F64D70">
      <w:rPr>
        <w:b/>
        <w:bCs/>
        <w:sz w:val="28"/>
        <w:szCs w:val="28"/>
      </w:rPr>
      <w:t>Amplifund Contract Entry Guide and Processes – SAP Perspective</w:t>
    </w:r>
  </w:p>
  <w:p w14:paraId="686315AF" w14:textId="77777777" w:rsidR="00165D2C" w:rsidRPr="00F64D70" w:rsidRDefault="00165D2C" w:rsidP="00F64D70">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B6636"/>
    <w:multiLevelType w:val="hybridMultilevel"/>
    <w:tmpl w:val="A7225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49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70"/>
    <w:rsid w:val="00005130"/>
    <w:rsid w:val="00013B50"/>
    <w:rsid w:val="000219ED"/>
    <w:rsid w:val="00022CBC"/>
    <w:rsid w:val="000371D8"/>
    <w:rsid w:val="00040856"/>
    <w:rsid w:val="000966AF"/>
    <w:rsid w:val="000A150D"/>
    <w:rsid w:val="000B1376"/>
    <w:rsid w:val="000C2759"/>
    <w:rsid w:val="000C2F37"/>
    <w:rsid w:val="000C7D97"/>
    <w:rsid w:val="000D1D5E"/>
    <w:rsid w:val="000E2383"/>
    <w:rsid w:val="00113C51"/>
    <w:rsid w:val="00123D51"/>
    <w:rsid w:val="00127533"/>
    <w:rsid w:val="00146D95"/>
    <w:rsid w:val="001634D2"/>
    <w:rsid w:val="00164853"/>
    <w:rsid w:val="00165D2C"/>
    <w:rsid w:val="00177F96"/>
    <w:rsid w:val="00184CA2"/>
    <w:rsid w:val="001C4441"/>
    <w:rsid w:val="001D59E9"/>
    <w:rsid w:val="001E0A13"/>
    <w:rsid w:val="001F0723"/>
    <w:rsid w:val="00202AE2"/>
    <w:rsid w:val="00203FD3"/>
    <w:rsid w:val="00210F86"/>
    <w:rsid w:val="00234CC1"/>
    <w:rsid w:val="00241180"/>
    <w:rsid w:val="00251F6C"/>
    <w:rsid w:val="002647C7"/>
    <w:rsid w:val="002658CD"/>
    <w:rsid w:val="00265936"/>
    <w:rsid w:val="0028399F"/>
    <w:rsid w:val="002A29E1"/>
    <w:rsid w:val="002B03C7"/>
    <w:rsid w:val="002D126D"/>
    <w:rsid w:val="003045CB"/>
    <w:rsid w:val="00307426"/>
    <w:rsid w:val="00310601"/>
    <w:rsid w:val="003252D7"/>
    <w:rsid w:val="00343E7D"/>
    <w:rsid w:val="0034461D"/>
    <w:rsid w:val="0034512C"/>
    <w:rsid w:val="00397485"/>
    <w:rsid w:val="003A236D"/>
    <w:rsid w:val="003A6406"/>
    <w:rsid w:val="003E05D1"/>
    <w:rsid w:val="003E2BA4"/>
    <w:rsid w:val="003E6A05"/>
    <w:rsid w:val="004023A4"/>
    <w:rsid w:val="004466A3"/>
    <w:rsid w:val="00455C17"/>
    <w:rsid w:val="00472AD6"/>
    <w:rsid w:val="00487B2D"/>
    <w:rsid w:val="00495E37"/>
    <w:rsid w:val="0049738E"/>
    <w:rsid w:val="004F4825"/>
    <w:rsid w:val="005055B9"/>
    <w:rsid w:val="00505D63"/>
    <w:rsid w:val="00517EFE"/>
    <w:rsid w:val="0053217D"/>
    <w:rsid w:val="0053231A"/>
    <w:rsid w:val="00543ACF"/>
    <w:rsid w:val="00552C2E"/>
    <w:rsid w:val="005665EE"/>
    <w:rsid w:val="005A5C70"/>
    <w:rsid w:val="005B65F6"/>
    <w:rsid w:val="005E69E3"/>
    <w:rsid w:val="006121B9"/>
    <w:rsid w:val="00623167"/>
    <w:rsid w:val="006305B5"/>
    <w:rsid w:val="006334EE"/>
    <w:rsid w:val="00646DE3"/>
    <w:rsid w:val="00665CCF"/>
    <w:rsid w:val="006837A6"/>
    <w:rsid w:val="00691398"/>
    <w:rsid w:val="006D57E4"/>
    <w:rsid w:val="006E48B2"/>
    <w:rsid w:val="006E6656"/>
    <w:rsid w:val="006F0928"/>
    <w:rsid w:val="006F2ABB"/>
    <w:rsid w:val="00716360"/>
    <w:rsid w:val="00734D77"/>
    <w:rsid w:val="00735782"/>
    <w:rsid w:val="007435BD"/>
    <w:rsid w:val="00746620"/>
    <w:rsid w:val="0078546C"/>
    <w:rsid w:val="007A14A9"/>
    <w:rsid w:val="007A5B9B"/>
    <w:rsid w:val="007D57DC"/>
    <w:rsid w:val="007E54A6"/>
    <w:rsid w:val="007F2615"/>
    <w:rsid w:val="00801D39"/>
    <w:rsid w:val="0082343E"/>
    <w:rsid w:val="00836B0D"/>
    <w:rsid w:val="00873718"/>
    <w:rsid w:val="00874F82"/>
    <w:rsid w:val="00875F8A"/>
    <w:rsid w:val="00885688"/>
    <w:rsid w:val="00885EB5"/>
    <w:rsid w:val="00892F2E"/>
    <w:rsid w:val="00897603"/>
    <w:rsid w:val="008D2992"/>
    <w:rsid w:val="009411B5"/>
    <w:rsid w:val="00953D4F"/>
    <w:rsid w:val="00963445"/>
    <w:rsid w:val="00974558"/>
    <w:rsid w:val="009805AC"/>
    <w:rsid w:val="009B787C"/>
    <w:rsid w:val="009C76B4"/>
    <w:rsid w:val="009D7022"/>
    <w:rsid w:val="00A53320"/>
    <w:rsid w:val="00A7061F"/>
    <w:rsid w:val="00A72D4C"/>
    <w:rsid w:val="00A956EA"/>
    <w:rsid w:val="00AA4DBA"/>
    <w:rsid w:val="00AA5D54"/>
    <w:rsid w:val="00AA5E2D"/>
    <w:rsid w:val="00AF6CF3"/>
    <w:rsid w:val="00B03D7B"/>
    <w:rsid w:val="00B06E8B"/>
    <w:rsid w:val="00B370FC"/>
    <w:rsid w:val="00B41E64"/>
    <w:rsid w:val="00B51BF9"/>
    <w:rsid w:val="00B64DA4"/>
    <w:rsid w:val="00B65410"/>
    <w:rsid w:val="00B67021"/>
    <w:rsid w:val="00B74678"/>
    <w:rsid w:val="00B77BC1"/>
    <w:rsid w:val="00B818A3"/>
    <w:rsid w:val="00B8377F"/>
    <w:rsid w:val="00B915DE"/>
    <w:rsid w:val="00BA18C7"/>
    <w:rsid w:val="00BB2F8F"/>
    <w:rsid w:val="00BC3240"/>
    <w:rsid w:val="00BE33D6"/>
    <w:rsid w:val="00BE68F3"/>
    <w:rsid w:val="00BF043D"/>
    <w:rsid w:val="00BF2B45"/>
    <w:rsid w:val="00BF4589"/>
    <w:rsid w:val="00BF69C1"/>
    <w:rsid w:val="00C125FD"/>
    <w:rsid w:val="00C25835"/>
    <w:rsid w:val="00C43681"/>
    <w:rsid w:val="00C5539A"/>
    <w:rsid w:val="00C63C3A"/>
    <w:rsid w:val="00C66953"/>
    <w:rsid w:val="00C94C8A"/>
    <w:rsid w:val="00CA39C7"/>
    <w:rsid w:val="00CB64A7"/>
    <w:rsid w:val="00CC0ED5"/>
    <w:rsid w:val="00CD2259"/>
    <w:rsid w:val="00CD45FC"/>
    <w:rsid w:val="00CF4916"/>
    <w:rsid w:val="00D372F3"/>
    <w:rsid w:val="00D47E2A"/>
    <w:rsid w:val="00D6094B"/>
    <w:rsid w:val="00D64546"/>
    <w:rsid w:val="00D75304"/>
    <w:rsid w:val="00D82544"/>
    <w:rsid w:val="00D83E15"/>
    <w:rsid w:val="00DA242A"/>
    <w:rsid w:val="00DF17B2"/>
    <w:rsid w:val="00E04725"/>
    <w:rsid w:val="00E22A83"/>
    <w:rsid w:val="00E34F43"/>
    <w:rsid w:val="00E94625"/>
    <w:rsid w:val="00EA22FB"/>
    <w:rsid w:val="00EB1A94"/>
    <w:rsid w:val="00EB4E34"/>
    <w:rsid w:val="00EC1FEF"/>
    <w:rsid w:val="00EC48A4"/>
    <w:rsid w:val="00EC6BF5"/>
    <w:rsid w:val="00F26B4F"/>
    <w:rsid w:val="00F60418"/>
    <w:rsid w:val="00F64D70"/>
    <w:rsid w:val="00F6509A"/>
    <w:rsid w:val="00F7086C"/>
    <w:rsid w:val="00F723DA"/>
    <w:rsid w:val="00F83EAA"/>
    <w:rsid w:val="00FA405C"/>
    <w:rsid w:val="00FE05DF"/>
    <w:rsid w:val="00FE6E65"/>
    <w:rsid w:val="00FF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8D283"/>
  <w15:chartTrackingRefBased/>
  <w15:docId w15:val="{BDAC256E-F823-446E-A5B1-CB0E7E2E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558"/>
    <w:pPr>
      <w:ind w:left="720"/>
      <w:contextualSpacing/>
    </w:pPr>
  </w:style>
  <w:style w:type="paragraph" w:styleId="Header">
    <w:name w:val="header"/>
    <w:basedOn w:val="Normal"/>
    <w:link w:val="HeaderChar"/>
    <w:uiPriority w:val="99"/>
    <w:unhideWhenUsed/>
    <w:rsid w:val="00F6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70"/>
  </w:style>
  <w:style w:type="paragraph" w:styleId="Footer">
    <w:name w:val="footer"/>
    <w:basedOn w:val="Normal"/>
    <w:link w:val="FooterChar"/>
    <w:uiPriority w:val="99"/>
    <w:unhideWhenUsed/>
    <w:rsid w:val="00F6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AC6E4-D1DC-4EB6-8836-2EC16B50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McAuliff, Sean</dc:creator>
  <cp:keywords/>
  <dc:description/>
  <cp:lastModifiedBy>McAuliff, Sean</cp:lastModifiedBy>
  <cp:revision>2</cp:revision>
  <dcterms:created xsi:type="dcterms:W3CDTF">2025-07-14T20:49:00Z</dcterms:created>
  <dcterms:modified xsi:type="dcterms:W3CDTF">2025-07-14T20:49:00Z</dcterms:modified>
</cp:coreProperties>
</file>